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left"/>
      </w:pPr>
      <w:r>
        <w:rPr>
          <w:rFonts w:ascii="Calibri" w:cs="Calibri" w:eastAsia="Calibri" w:hAnsi="Calibri"/>
          <w:b/>
          <w:bCs/>
          <w:color w:val="0F766E"/>
          <w:sz w:val="36"/>
          <w:szCs w:val="36"/>
        </w:rPr>
        <w:t xml:space="preserve">REGULAMIN VESTERI COLLECTIVE</w:t>
      </w:r>
    </w:p>
    <w:p>
      <w:pPr>
        <w:spacing w:after="60"/>
      </w:pPr>
      <w:r>
        <w:rPr>
          <w:rFonts w:ascii="Calibri" w:cs="Calibri" w:eastAsia="Calibri" w:hAnsi="Calibri"/>
          <w:color w:val="444444"/>
          <w:sz w:val="24"/>
          <w:szCs w:val="24"/>
        </w:rPr>
        <w:t xml:space="preserve">Zasady członkostwa i współpracy agentów w sieci Vesteri Collective</w:t>
      </w:r>
    </w:p>
    <w:p>
      <w:pPr>
        <w:pBdr>
          <w:bottom w:val="single" w:color="0F766E" w:sz="6" w:space="6"/>
        </w:pBdr>
        <w:spacing w:after="240"/>
      </w:pPr>
      <w:r>
        <w:rPr>
          <w:rFonts w:ascii="Calibri" w:cs="Calibri" w:eastAsia="Calibri" w:hAnsi="Calibri"/>
          <w:color w:val="666666"/>
          <w:sz w:val="19"/>
          <w:szCs w:val="19"/>
        </w:rPr>
        <w:t xml:space="preserve">Wersja 1.0  ·  Obowiązuje od: </w:t>
      </w:r>
      <w:r>
        <w:rPr>
          <w:rFonts w:ascii="Calibri" w:cs="Calibri" w:eastAsia="Calibri" w:hAnsi="Calibri"/>
          <w:color w:val="666666"/>
          <w:sz w:val="19"/>
          <w:szCs w:val="19"/>
        </w:rPr>
        <w:t xml:space="preserve">22 października 2026 r.</w:t>
      </w:r>
      <w:r>
        <w:rPr>
          <w:rFonts w:ascii="Calibri" w:cs="Calibri" w:eastAsia="Calibri" w:hAnsi="Calibri"/>
          <w:color w:val="666666"/>
          <w:sz w:val="19"/>
          <w:szCs w:val="19"/>
        </w:rPr>
        <w:t xml:space="preserve">  ·  Operator: Time2Show, Inc.</w:t>
      </w:r>
    </w:p>
    <w:p>
      <w:pPr>
        <w:pStyle w:val="Heading2"/>
        <w:spacing w:after="120" w:before="280"/>
      </w:pPr>
      <w:r>
        <w:rPr>
          <w:rFonts w:ascii="Calibri" w:cs="Calibri" w:eastAsia="Calibri" w:hAnsi="Calibri"/>
          <w:b/>
          <w:bCs/>
          <w:color w:val="0F766E"/>
          <w:sz w:val="24"/>
          <w:szCs w:val="24"/>
        </w:rPr>
        <w:t xml:space="preserve">§ 1. Postanowienia ogólne</w:t>
      </w:r>
    </w:p>
    <w:p>
      <w:pPr>
        <w:tabs>
          <w:tab w:val="left" w:pos="420"/>
        </w:tabs>
        <w:spacing w:after="100" w:line="276"/>
        <w:ind w:left="420" w:hanging="420"/>
      </w:pPr>
      <w:r>
        <w:rPr>
          <w:rFonts w:ascii="Calibri" w:cs="Calibri" w:eastAsia="Calibri" w:hAnsi="Calibri"/>
          <w:sz w:val="21"/>
          <w:szCs w:val="21"/>
        </w:rPr>
        <w:t xml:space="preserve">1.	</w:t>
      </w:r>
      <w:r>
        <w:rPr>
          <w:rFonts w:ascii="Calibri" w:cs="Calibri" w:eastAsia="Calibri" w:hAnsi="Calibri"/>
          <w:sz w:val="21"/>
          <w:szCs w:val="21"/>
        </w:rPr>
        <w:t xml:space="preserve">Vesteri Collective („Collective”) to selektywna sieć niezależnych agentów i biur nieruchomości prowadzona przez Time2Show, Inc. (Delaware, USA), 1111B S Governors Ave STE 20579, Dover, DE 19904, USA, działającą pod marką Vesteri („Vesteri”). Kontakt w sprawach Collective: </w:t>
      </w:r>
      <w:r>
        <w:rPr>
          <w:rFonts w:ascii="Calibri" w:cs="Calibri" w:eastAsia="Calibri" w:hAnsi="Calibri"/>
          <w:sz w:val="21"/>
          <w:szCs w:val="21"/>
        </w:rPr>
        <w:t xml:space="preserve">collective@vesteri.com</w:t>
      </w:r>
      <w:r>
        <w:rPr>
          <w:rFonts w:ascii="Calibri" w:cs="Calibri" w:eastAsia="Calibri" w:hAnsi="Calibri"/>
          <w:sz w:val="21"/>
          <w:szCs w:val="21"/>
        </w:rPr>
        <w:t xml:space="preserve">.</w:t>
      </w:r>
    </w:p>
    <w:p>
      <w:pPr>
        <w:tabs>
          <w:tab w:val="left" w:pos="420"/>
        </w:tabs>
        <w:spacing w:after="100" w:line="276"/>
        <w:ind w:left="420" w:hanging="420"/>
      </w:pPr>
      <w:r>
        <w:rPr>
          <w:rFonts w:ascii="Calibri" w:cs="Calibri" w:eastAsia="Calibri" w:hAnsi="Calibri"/>
          <w:sz w:val="21"/>
          <w:szCs w:val="21"/>
        </w:rPr>
        <w:t xml:space="preserve">2.	</w:t>
      </w:r>
      <w:r>
        <w:rPr>
          <w:rFonts w:ascii="Calibri" w:cs="Calibri" w:eastAsia="Calibri" w:hAnsi="Calibri"/>
          <w:sz w:val="21"/>
          <w:szCs w:val="21"/>
        </w:rPr>
        <w:t xml:space="preserve">Regulamin określa warunki członkostwa w Collective oraz zasady współpracy między Członkami. Korzystanie z systemu Vesteri dostępnego pod adresem vesteri.estalara.com („System”), w tym z Marketplace, podlega odrębnemu Regulaminowi Platformy. W sprawach członkostwa i współpracy między Członkami pierwszeństwo ma niniejszy Regulamin.</w:t>
      </w:r>
    </w:p>
    <w:p>
      <w:pPr>
        <w:tabs>
          <w:tab w:val="left" w:pos="420"/>
        </w:tabs>
        <w:spacing w:after="100" w:line="276"/>
        <w:ind w:left="420" w:hanging="420"/>
      </w:pPr>
      <w:r>
        <w:rPr>
          <w:rFonts w:ascii="Calibri" w:cs="Calibri" w:eastAsia="Calibri" w:hAnsi="Calibri"/>
          <w:sz w:val="21"/>
          <w:szCs w:val="21"/>
        </w:rPr>
        <w:t xml:space="preserve">3.	</w:t>
      </w:r>
      <w:r>
        <w:rPr>
          <w:rFonts w:ascii="Calibri" w:cs="Calibri" w:eastAsia="Calibri" w:hAnsi="Calibri"/>
          <w:sz w:val="21"/>
          <w:szCs w:val="21"/>
        </w:rPr>
        <w:t xml:space="preserve">Regulamin jest skierowany wyłącznie do przedsiębiorców. Relacje z kupującymi i sprzedającymi regulują Regulamin serwisu Vesteri oraz umowy zawierane bezpośrednio z Członkiem.</w:t>
      </w:r>
    </w:p>
    <w:p>
      <w:pPr>
        <w:tabs>
          <w:tab w:val="left" w:pos="420"/>
        </w:tabs>
        <w:spacing w:after="100" w:line="276"/>
        <w:ind w:left="420" w:hanging="420"/>
      </w:pPr>
      <w:r>
        <w:rPr>
          <w:rFonts w:ascii="Calibri" w:cs="Calibri" w:eastAsia="Calibri" w:hAnsi="Calibri"/>
          <w:sz w:val="21"/>
          <w:szCs w:val="21"/>
        </w:rPr>
        <w:t xml:space="preserve">4.	</w:t>
      </w:r>
      <w:r>
        <w:rPr>
          <w:rFonts w:ascii="Calibri" w:cs="Calibri" w:eastAsia="Calibri" w:hAnsi="Calibri"/>
          <w:sz w:val="21"/>
          <w:szCs w:val="21"/>
        </w:rPr>
        <w:t xml:space="preserve">Definicje:</w:t>
      </w:r>
    </w:p>
    <w:p>
      <w:pPr>
        <w:tabs>
          <w:tab w:val="left" w:pos="900"/>
        </w:tabs>
        <w:spacing w:after="60" w:line="276"/>
        <w:ind w:left="900" w:hanging="360"/>
      </w:pPr>
      <w:r>
        <w:rPr>
          <w:rFonts w:ascii="Calibri" w:cs="Calibri" w:eastAsia="Calibri" w:hAnsi="Calibri"/>
          <w:sz w:val="21"/>
          <w:szCs w:val="21"/>
        </w:rPr>
        <w:t xml:space="preserve">–	</w:t>
      </w:r>
      <w:r>
        <w:rPr>
          <w:rFonts w:ascii="Calibri" w:cs="Calibri" w:eastAsia="Calibri" w:hAnsi="Calibri"/>
          <w:b/>
          <w:bCs/>
          <w:sz w:val="21"/>
          <w:szCs w:val="21"/>
        </w:rPr>
        <w:t xml:space="preserve">Członek</w:t>
      </w:r>
      <w:r>
        <w:rPr>
          <w:rFonts w:ascii="Calibri" w:cs="Calibri" w:eastAsia="Calibri" w:hAnsi="Calibri"/>
          <w:sz w:val="21"/>
          <w:szCs w:val="21"/>
        </w:rPr>
        <w:t xml:space="preserve"> – agent lub biuro nieruchomości, którego zgłoszenie do Collective zostało zatwierdzone;</w:t>
      </w:r>
    </w:p>
    <w:p>
      <w:pPr>
        <w:tabs>
          <w:tab w:val="left" w:pos="900"/>
        </w:tabs>
        <w:spacing w:after="60" w:line="276"/>
        <w:ind w:left="900" w:hanging="360"/>
      </w:pPr>
      <w:r>
        <w:rPr>
          <w:rFonts w:ascii="Calibri" w:cs="Calibri" w:eastAsia="Calibri" w:hAnsi="Calibri"/>
          <w:sz w:val="21"/>
          <w:szCs w:val="21"/>
        </w:rPr>
        <w:t xml:space="preserve">–	</w:t>
      </w:r>
      <w:r>
        <w:rPr>
          <w:rFonts w:ascii="Calibri" w:cs="Calibri" w:eastAsia="Calibri" w:hAnsi="Calibri"/>
          <w:b/>
          <w:bCs/>
          <w:sz w:val="21"/>
          <w:szCs w:val="21"/>
        </w:rPr>
        <w:t xml:space="preserve">Agent Oferty</w:t>
      </w:r>
      <w:r>
        <w:rPr>
          <w:rFonts w:ascii="Calibri" w:cs="Calibri" w:eastAsia="Calibri" w:hAnsi="Calibri"/>
          <w:sz w:val="21"/>
          <w:szCs w:val="21"/>
        </w:rPr>
        <w:t xml:space="preserve"> – Członek odpowiedzialny za daną nieruchomość w Marketplace;</w:t>
      </w:r>
    </w:p>
    <w:p>
      <w:pPr>
        <w:tabs>
          <w:tab w:val="left" w:pos="900"/>
        </w:tabs>
        <w:spacing w:after="60" w:line="276"/>
        <w:ind w:left="900" w:hanging="360"/>
      </w:pPr>
      <w:r>
        <w:rPr>
          <w:rFonts w:ascii="Calibri" w:cs="Calibri" w:eastAsia="Calibri" w:hAnsi="Calibri"/>
          <w:sz w:val="21"/>
          <w:szCs w:val="21"/>
        </w:rPr>
        <w:t xml:space="preserve">–	</w:t>
      </w:r>
      <w:r>
        <w:rPr>
          <w:rFonts w:ascii="Calibri" w:cs="Calibri" w:eastAsia="Calibri" w:hAnsi="Calibri"/>
          <w:b/>
          <w:bCs/>
          <w:sz w:val="21"/>
          <w:szCs w:val="21"/>
        </w:rPr>
        <w:t xml:space="preserve">Agent Kupującego</w:t>
      </w:r>
      <w:r>
        <w:rPr>
          <w:rFonts w:ascii="Calibri" w:cs="Calibri" w:eastAsia="Calibri" w:hAnsi="Calibri"/>
          <w:sz w:val="21"/>
          <w:szCs w:val="21"/>
        </w:rPr>
        <w:t xml:space="preserve"> – Członek, który pozyskał i reprezentuje kupującego;</w:t>
      </w:r>
    </w:p>
    <w:p>
      <w:pPr>
        <w:tabs>
          <w:tab w:val="left" w:pos="900"/>
        </w:tabs>
        <w:spacing w:after="60" w:line="276"/>
        <w:ind w:left="900" w:hanging="360"/>
      </w:pPr>
      <w:r>
        <w:rPr>
          <w:rFonts w:ascii="Calibri" w:cs="Calibri" w:eastAsia="Calibri" w:hAnsi="Calibri"/>
          <w:sz w:val="21"/>
          <w:szCs w:val="21"/>
        </w:rPr>
        <w:t xml:space="preserve">–	</w:t>
      </w:r>
      <w:r>
        <w:rPr>
          <w:rFonts w:ascii="Calibri" w:cs="Calibri" w:eastAsia="Calibri" w:hAnsi="Calibri"/>
          <w:b/>
          <w:bCs/>
          <w:sz w:val="21"/>
          <w:szCs w:val="21"/>
        </w:rPr>
        <w:t xml:space="preserve">Polecenie</w:t>
      </w:r>
      <w:r>
        <w:rPr>
          <w:rFonts w:ascii="Calibri" w:cs="Calibri" w:eastAsia="Calibri" w:hAnsi="Calibri"/>
          <w:sz w:val="21"/>
          <w:szCs w:val="21"/>
        </w:rPr>
        <w:t xml:space="preserve"> – przekazanie innemu Członkowi kontaktu do kupującego lub sprzedającego, bez dalszej obsługi klienta;</w:t>
      </w:r>
    </w:p>
    <w:p>
      <w:pPr>
        <w:tabs>
          <w:tab w:val="left" w:pos="900"/>
        </w:tabs>
        <w:spacing w:after="60" w:line="276"/>
        <w:ind w:left="900" w:hanging="360"/>
      </w:pPr>
      <w:r>
        <w:rPr>
          <w:rFonts w:ascii="Calibri" w:cs="Calibri" w:eastAsia="Calibri" w:hAnsi="Calibri"/>
          <w:sz w:val="21"/>
          <w:szCs w:val="21"/>
        </w:rPr>
        <w:t xml:space="preserve">–	</w:t>
      </w:r>
      <w:r>
        <w:rPr>
          <w:rFonts w:ascii="Calibri" w:cs="Calibri" w:eastAsia="Calibri" w:hAnsi="Calibri"/>
          <w:b/>
          <w:bCs/>
          <w:sz w:val="21"/>
          <w:szCs w:val="21"/>
        </w:rPr>
        <w:t xml:space="preserve">Wspólna Transakcja</w:t>
      </w:r>
      <w:r>
        <w:rPr>
          <w:rFonts w:ascii="Calibri" w:cs="Calibri" w:eastAsia="Calibri" w:hAnsi="Calibri"/>
          <w:sz w:val="21"/>
          <w:szCs w:val="21"/>
        </w:rPr>
        <w:t xml:space="preserve"> – transakcja, w której Agent Oferty i Agent Kupującego wspólnie obsługują klienta aż do jej zamknięcia;</w:t>
      </w:r>
    </w:p>
    <w:p>
      <w:pPr>
        <w:tabs>
          <w:tab w:val="left" w:pos="900"/>
        </w:tabs>
        <w:spacing w:after="60" w:line="276"/>
        <w:ind w:left="900" w:hanging="360"/>
      </w:pPr>
      <w:r>
        <w:rPr>
          <w:rFonts w:ascii="Calibri" w:cs="Calibri" w:eastAsia="Calibri" w:hAnsi="Calibri"/>
          <w:sz w:val="21"/>
          <w:szCs w:val="21"/>
        </w:rPr>
        <w:t xml:space="preserve">–	</w:t>
      </w:r>
      <w:r>
        <w:rPr>
          <w:rFonts w:ascii="Calibri" w:cs="Calibri" w:eastAsia="Calibri" w:hAnsi="Calibri"/>
          <w:b/>
          <w:bCs/>
          <w:sz w:val="21"/>
          <w:szCs w:val="21"/>
        </w:rPr>
        <w:t xml:space="preserve">Marketplace</w:t>
      </w:r>
      <w:r>
        <w:rPr>
          <w:rFonts w:ascii="Calibri" w:cs="Calibri" w:eastAsia="Calibri" w:hAnsi="Calibri"/>
          <w:sz w:val="21"/>
          <w:szCs w:val="21"/>
        </w:rPr>
        <w:t xml:space="preserve"> – publiczna część Systemu prezentująca oferty Członków.</w:t>
      </w:r>
    </w:p>
    <w:p>
      <w:pPr>
        <w:pStyle w:val="Heading2"/>
        <w:spacing w:after="120" w:before="280"/>
      </w:pPr>
      <w:r>
        <w:rPr>
          <w:rFonts w:ascii="Calibri" w:cs="Calibri" w:eastAsia="Calibri" w:hAnsi="Calibri"/>
          <w:b/>
          <w:bCs/>
          <w:color w:val="0F766E"/>
          <w:sz w:val="24"/>
          <w:szCs w:val="24"/>
        </w:rPr>
        <w:t xml:space="preserve">§ 2. Członkostwo</w:t>
      </w:r>
    </w:p>
    <w:p>
      <w:pPr>
        <w:tabs>
          <w:tab w:val="left" w:pos="420"/>
        </w:tabs>
        <w:spacing w:after="100" w:line="276"/>
        <w:ind w:left="420" w:hanging="420"/>
      </w:pPr>
      <w:r>
        <w:rPr>
          <w:rFonts w:ascii="Calibri" w:cs="Calibri" w:eastAsia="Calibri" w:hAnsi="Calibri"/>
          <w:sz w:val="21"/>
          <w:szCs w:val="21"/>
        </w:rPr>
        <w:t xml:space="preserve">1.	</w:t>
      </w:r>
      <w:r>
        <w:rPr>
          <w:rFonts w:ascii="Calibri" w:cs="Calibri" w:eastAsia="Calibri" w:hAnsi="Calibri"/>
          <w:sz w:val="21"/>
          <w:szCs w:val="21"/>
        </w:rPr>
        <w:t xml:space="preserve">O członkostwo mogą ubiegać się niezależni agenci i biura nieruchomości prowadzący legalną działalność pośrednictwa na swoim rynku.</w:t>
      </w:r>
    </w:p>
    <w:p>
      <w:pPr>
        <w:tabs>
          <w:tab w:val="left" w:pos="420"/>
        </w:tabs>
        <w:spacing w:after="100" w:line="276"/>
        <w:ind w:left="420" w:hanging="420"/>
      </w:pPr>
      <w:r>
        <w:rPr>
          <w:rFonts w:ascii="Calibri" w:cs="Calibri" w:eastAsia="Calibri" w:hAnsi="Calibri"/>
          <w:sz w:val="21"/>
          <w:szCs w:val="21"/>
        </w:rPr>
        <w:t xml:space="preserve">2.	</w:t>
      </w:r>
      <w:r>
        <w:rPr>
          <w:rFonts w:ascii="Calibri" w:cs="Calibri" w:eastAsia="Calibri" w:hAnsi="Calibri"/>
          <w:sz w:val="21"/>
          <w:szCs w:val="21"/>
        </w:rPr>
        <w:t xml:space="preserve">Zgłoszenie jest bezpłatne i składa się przez System. Vesteri weryfikuje tożsamość, prowadzoną działalność, wymagane na danym rynku licencje, wpisy lub ubezpieczenie (w Polsce: ubezpieczenie OC pośrednika) oraz akceptację Zasad Fair Play &amp; Trust. Vesteri może zażądać dokumentów potwierdzających.</w:t>
      </w:r>
    </w:p>
    <w:p>
      <w:pPr>
        <w:tabs>
          <w:tab w:val="left" w:pos="420"/>
        </w:tabs>
        <w:spacing w:after="100" w:line="276"/>
        <w:ind w:left="420" w:hanging="420"/>
      </w:pPr>
      <w:r>
        <w:rPr>
          <w:rFonts w:ascii="Calibri" w:cs="Calibri" w:eastAsia="Calibri" w:hAnsi="Calibri"/>
          <w:sz w:val="21"/>
          <w:szCs w:val="21"/>
        </w:rPr>
        <w:t xml:space="preserve">3.	</w:t>
      </w:r>
      <w:r>
        <w:rPr>
          <w:rFonts w:ascii="Calibri" w:cs="Calibri" w:eastAsia="Calibri" w:hAnsi="Calibri"/>
          <w:sz w:val="21"/>
          <w:szCs w:val="21"/>
        </w:rPr>
        <w:t xml:space="preserve">Członkostwo jest selektywne. Vesteri decyduje o przyjęciu według własnej oceny, nie ma obowiązku uzasadniania odmowy i nie gwarantuje terminu rozpatrzenia.</w:t>
      </w:r>
    </w:p>
    <w:p>
      <w:pPr>
        <w:tabs>
          <w:tab w:val="left" w:pos="420"/>
        </w:tabs>
        <w:spacing w:after="100" w:line="276"/>
        <w:ind w:left="420" w:hanging="420"/>
      </w:pPr>
      <w:r>
        <w:rPr>
          <w:rFonts w:ascii="Calibri" w:cs="Calibri" w:eastAsia="Calibri" w:hAnsi="Calibri"/>
          <w:sz w:val="21"/>
          <w:szCs w:val="21"/>
        </w:rPr>
        <w:t xml:space="preserve">4.	</w:t>
      </w:r>
      <w:r>
        <w:rPr>
          <w:rFonts w:ascii="Calibri" w:cs="Calibri" w:eastAsia="Calibri" w:hAnsi="Calibri"/>
          <w:sz w:val="21"/>
          <w:szCs w:val="21"/>
        </w:rPr>
        <w:t xml:space="preserve">Z chwilą zatwierdzenia Członek może publikować oferty, korzystać z Systemu i współpracować z innymi Członkami oraz posługiwać się oznaczeniem „Członek Vesteri Collective” w sposób określony przez Vesteri.</w:t>
      </w:r>
    </w:p>
    <w:p>
      <w:pPr>
        <w:tabs>
          <w:tab w:val="left" w:pos="420"/>
        </w:tabs>
        <w:spacing w:after="100" w:line="276"/>
        <w:ind w:left="420" w:hanging="420"/>
      </w:pPr>
      <w:r>
        <w:rPr>
          <w:rFonts w:ascii="Calibri" w:cs="Calibri" w:eastAsia="Calibri" w:hAnsi="Calibri"/>
          <w:sz w:val="21"/>
          <w:szCs w:val="21"/>
        </w:rPr>
        <w:t xml:space="preserve">5.	</w:t>
      </w:r>
      <w:r>
        <w:rPr>
          <w:rFonts w:ascii="Calibri" w:cs="Calibri" w:eastAsia="Calibri" w:hAnsi="Calibri"/>
          <w:sz w:val="21"/>
          <w:szCs w:val="21"/>
        </w:rPr>
        <w:t xml:space="preserve">Członek zachowuje własną markę, klientów i prowizję z własnych ofert. Członkostwo nie tworzy wyłączności, franczyzy, spółki, stosunku pracy ani umocowania do działania w imieniu Vesteri lub innych Członków.</w:t>
      </w:r>
    </w:p>
    <w:p>
      <w:pPr>
        <w:tabs>
          <w:tab w:val="left" w:pos="420"/>
        </w:tabs>
        <w:spacing w:after="100" w:line="276"/>
        <w:ind w:left="420" w:hanging="420"/>
      </w:pPr>
      <w:r>
        <w:rPr>
          <w:rFonts w:ascii="Calibri" w:cs="Calibri" w:eastAsia="Calibri" w:hAnsi="Calibri"/>
          <w:sz w:val="21"/>
          <w:szCs w:val="21"/>
        </w:rPr>
        <w:t xml:space="preserve">6.	</w:t>
      </w:r>
      <w:r>
        <w:rPr>
          <w:rFonts w:ascii="Calibri" w:cs="Calibri" w:eastAsia="Calibri" w:hAnsi="Calibri"/>
          <w:sz w:val="21"/>
          <w:szCs w:val="21"/>
        </w:rPr>
        <w:t xml:space="preserve">Członek niezwłocznie aktualizuje swoje dane i informuje Vesteri o utracie uprawnień lub ubezpieczenia oraz o postępowaniu dyscyplinarnym lub karnym związanym z jego działalnością.</w:t>
      </w:r>
    </w:p>
    <w:p>
      <w:pPr>
        <w:pStyle w:val="Heading2"/>
        <w:spacing w:after="120" w:before="280"/>
      </w:pPr>
      <w:r>
        <w:rPr>
          <w:rFonts w:ascii="Calibri" w:cs="Calibri" w:eastAsia="Calibri" w:hAnsi="Calibri"/>
          <w:b/>
          <w:bCs/>
          <w:color w:val="0F766E"/>
          <w:sz w:val="24"/>
          <w:szCs w:val="24"/>
        </w:rPr>
        <w:t xml:space="preserve">§ 3. Zasady Fair Play &amp; Trust</w:t>
      </w:r>
    </w:p>
    <w:p>
      <w:pPr>
        <w:spacing w:after="100" w:line="276"/>
      </w:pPr>
      <w:r>
        <w:rPr>
          <w:rFonts w:ascii="Calibri" w:cs="Calibri" w:eastAsia="Calibri" w:hAnsi="Calibri"/>
          <w:sz w:val="21"/>
          <w:szCs w:val="21"/>
        </w:rPr>
        <w:t xml:space="preserve">Każdy Członek zobowiązuje się do przestrzegania następujących zasad:</w:t>
      </w:r>
    </w:p>
    <w:p>
      <w:pPr>
        <w:tabs>
          <w:tab w:val="left" w:pos="420"/>
        </w:tabs>
        <w:spacing w:after="100" w:line="276"/>
        <w:ind w:left="420" w:hanging="420"/>
      </w:pPr>
      <w:r>
        <w:rPr>
          <w:rFonts w:ascii="Calibri" w:cs="Calibri" w:eastAsia="Calibri" w:hAnsi="Calibri"/>
          <w:sz w:val="21"/>
          <w:szCs w:val="21"/>
        </w:rPr>
        <w:t xml:space="preserve">1.	</w:t>
      </w:r>
      <w:r>
        <w:rPr>
          <w:rFonts w:ascii="Calibri" w:cs="Calibri" w:eastAsia="Calibri" w:hAnsi="Calibri"/>
          <w:sz w:val="21"/>
          <w:szCs w:val="21"/>
        </w:rPr>
        <w:t xml:space="preserve">Rzetelność ofert – publikuje tylko oferty, do których ma umocowanie, z prawdziwymi i aktualnymi danymi (cena, powierzchnia, stan prawny, lokalizacja), bez wprowadzających w błąd zdjęć i opisów; wycofuje oferty niedostępne w ciągu 3 dni roboczych.</w:t>
      </w:r>
    </w:p>
    <w:p>
      <w:pPr>
        <w:tabs>
          <w:tab w:val="left" w:pos="420"/>
        </w:tabs>
        <w:spacing w:after="100" w:line="276"/>
        <w:ind w:left="420" w:hanging="420"/>
      </w:pPr>
      <w:r>
        <w:rPr>
          <w:rFonts w:ascii="Calibri" w:cs="Calibri" w:eastAsia="Calibri" w:hAnsi="Calibri"/>
          <w:sz w:val="21"/>
          <w:szCs w:val="21"/>
        </w:rPr>
        <w:t xml:space="preserve">2.	</w:t>
      </w:r>
      <w:r>
        <w:rPr>
          <w:rFonts w:ascii="Calibri" w:cs="Calibri" w:eastAsia="Calibri" w:hAnsi="Calibri"/>
          <w:sz w:val="21"/>
          <w:szCs w:val="21"/>
        </w:rPr>
        <w:t xml:space="preserve">Przejrzysta reprezentacja – jasno wskazuje, kogo reprezentuje i na jakich zasadach; każda oferta wskazuje odpowiedzialnego agenta.</w:t>
      </w:r>
    </w:p>
    <w:p>
      <w:pPr>
        <w:tabs>
          <w:tab w:val="left" w:pos="420"/>
        </w:tabs>
        <w:spacing w:after="100" w:line="276"/>
        <w:ind w:left="420" w:hanging="420"/>
      </w:pPr>
      <w:r>
        <w:rPr>
          <w:rFonts w:ascii="Calibri" w:cs="Calibri" w:eastAsia="Calibri" w:hAnsi="Calibri"/>
          <w:sz w:val="21"/>
          <w:szCs w:val="21"/>
        </w:rPr>
        <w:t xml:space="preserve">3.	</w:t>
      </w:r>
      <w:r>
        <w:rPr>
          <w:rFonts w:ascii="Calibri" w:cs="Calibri" w:eastAsia="Calibri" w:hAnsi="Calibri"/>
          <w:sz w:val="21"/>
          <w:szCs w:val="21"/>
        </w:rPr>
        <w:t xml:space="preserve">Szacunek wobec kupujących – nie wywiera presji, nie ukrywa istotnych informacji, chroni prywatność i nie składa obietnic, których nie może dotrzymać (w szczególności dotyczących zwrotu z inwestycji, terminów i finansowania).</w:t>
      </w:r>
    </w:p>
    <w:p>
      <w:pPr>
        <w:tabs>
          <w:tab w:val="left" w:pos="420"/>
        </w:tabs>
        <w:spacing w:after="100" w:line="276"/>
        <w:ind w:left="420" w:hanging="420"/>
      </w:pPr>
      <w:r>
        <w:rPr>
          <w:rFonts w:ascii="Calibri" w:cs="Calibri" w:eastAsia="Calibri" w:hAnsi="Calibri"/>
          <w:sz w:val="21"/>
          <w:szCs w:val="21"/>
        </w:rPr>
        <w:t xml:space="preserve">4.	</w:t>
      </w:r>
      <w:r>
        <w:rPr>
          <w:rFonts w:ascii="Calibri" w:cs="Calibri" w:eastAsia="Calibri" w:hAnsi="Calibri"/>
          <w:sz w:val="21"/>
          <w:szCs w:val="21"/>
        </w:rPr>
        <w:t xml:space="preserve">Poszanowanie relacji – nie przejmuje klientów innych Członków i nie pomija ich przy transakcji (§ 4 ust. 6–7).</w:t>
      </w:r>
    </w:p>
    <w:p>
      <w:pPr>
        <w:tabs>
          <w:tab w:val="left" w:pos="420"/>
        </w:tabs>
        <w:spacing w:after="100" w:line="276"/>
        <w:ind w:left="420" w:hanging="420"/>
      </w:pPr>
      <w:r>
        <w:rPr>
          <w:rFonts w:ascii="Calibri" w:cs="Calibri" w:eastAsia="Calibri" w:hAnsi="Calibri"/>
          <w:sz w:val="21"/>
          <w:szCs w:val="21"/>
        </w:rPr>
        <w:t xml:space="preserve">5.	</w:t>
      </w:r>
      <w:r>
        <w:rPr>
          <w:rFonts w:ascii="Calibri" w:cs="Calibri" w:eastAsia="Calibri" w:hAnsi="Calibri"/>
          <w:sz w:val="21"/>
          <w:szCs w:val="21"/>
        </w:rPr>
        <w:t xml:space="preserve">Dotrzymywanie ustaleń – wykonuje uzgodnione Polecenia i Wspólne Transakcje oraz rozlicza się terminowo.</w:t>
      </w:r>
    </w:p>
    <w:p>
      <w:pPr>
        <w:tabs>
          <w:tab w:val="left" w:pos="420"/>
        </w:tabs>
        <w:spacing w:after="100" w:line="276"/>
        <w:ind w:left="420" w:hanging="420"/>
      </w:pPr>
      <w:r>
        <w:rPr>
          <w:rFonts w:ascii="Calibri" w:cs="Calibri" w:eastAsia="Calibri" w:hAnsi="Calibri"/>
          <w:sz w:val="21"/>
          <w:szCs w:val="21"/>
        </w:rPr>
        <w:t xml:space="preserve">6.	</w:t>
      </w:r>
      <w:r>
        <w:rPr>
          <w:rFonts w:ascii="Calibri" w:cs="Calibri" w:eastAsia="Calibri" w:hAnsi="Calibri"/>
          <w:sz w:val="21"/>
          <w:szCs w:val="21"/>
        </w:rPr>
        <w:t xml:space="preserve">Lojalność wobec sieci – nie działa na szkodę Collective, innych Członków ani marki Vesteri; nie wykorzystuje danych z Systemu poza celem współpracy.</w:t>
      </w:r>
    </w:p>
    <w:p>
      <w:pPr>
        <w:tabs>
          <w:tab w:val="left" w:pos="420"/>
        </w:tabs>
        <w:spacing w:after="100" w:line="276"/>
        <w:ind w:left="420" w:hanging="420"/>
      </w:pPr>
      <w:r>
        <w:rPr>
          <w:rFonts w:ascii="Calibri" w:cs="Calibri" w:eastAsia="Calibri" w:hAnsi="Calibri"/>
          <w:sz w:val="21"/>
          <w:szCs w:val="21"/>
        </w:rPr>
        <w:t xml:space="preserve">7.	</w:t>
      </w:r>
      <w:r>
        <w:rPr>
          <w:rFonts w:ascii="Calibri" w:cs="Calibri" w:eastAsia="Calibri" w:hAnsi="Calibri"/>
          <w:sz w:val="21"/>
          <w:szCs w:val="21"/>
        </w:rPr>
        <w:t xml:space="preserve">Zgodność z prawem – przestrzega przepisów o pośrednictwie, przeciwdziałaniu praniu pieniędzy, ochronie konsumentów i danych osobowych na każdym rynku, na którym działa.</w:t>
      </w:r>
    </w:p>
    <w:p>
      <w:pPr>
        <w:tabs>
          <w:tab w:val="left" w:pos="420"/>
        </w:tabs>
        <w:spacing w:after="100" w:line="276"/>
        <w:ind w:left="420" w:hanging="420"/>
      </w:pPr>
      <w:r>
        <w:rPr>
          <w:rFonts w:ascii="Calibri" w:cs="Calibri" w:eastAsia="Calibri" w:hAnsi="Calibri"/>
          <w:sz w:val="21"/>
          <w:szCs w:val="21"/>
        </w:rPr>
        <w:t xml:space="preserve">8.	</w:t>
      </w:r>
      <w:r>
        <w:rPr>
          <w:rFonts w:ascii="Calibri" w:cs="Calibri" w:eastAsia="Calibri" w:hAnsi="Calibri"/>
          <w:sz w:val="21"/>
          <w:szCs w:val="21"/>
        </w:rPr>
        <w:t xml:space="preserve">Komunikacja – odpowiada na zapytania innych Członków w ciągu 2 dni roboczych.</w:t>
      </w:r>
    </w:p>
    <w:p>
      <w:pPr>
        <w:pStyle w:val="Heading2"/>
        <w:spacing w:after="120" w:before="280"/>
      </w:pPr>
      <w:r>
        <w:rPr>
          <w:rFonts w:ascii="Calibri" w:cs="Calibri" w:eastAsia="Calibri" w:hAnsi="Calibri"/>
          <w:b/>
          <w:bCs/>
          <w:color w:val="0F766E"/>
          <w:sz w:val="24"/>
          <w:szCs w:val="24"/>
        </w:rPr>
        <w:t xml:space="preserve">§ 4. Współpraca między Członkami</w:t>
      </w:r>
    </w:p>
    <w:p>
      <w:pPr>
        <w:tabs>
          <w:tab w:val="left" w:pos="420"/>
        </w:tabs>
        <w:spacing w:after="100" w:line="276"/>
        <w:ind w:left="420" w:hanging="420"/>
      </w:pPr>
      <w:r>
        <w:rPr>
          <w:rFonts w:ascii="Calibri" w:cs="Calibri" w:eastAsia="Calibri" w:hAnsi="Calibri"/>
          <w:sz w:val="21"/>
          <w:szCs w:val="21"/>
        </w:rPr>
        <w:t xml:space="preserve">1.	</w:t>
      </w:r>
      <w:r>
        <w:rPr>
          <w:rFonts w:ascii="Calibri" w:cs="Calibri" w:eastAsia="Calibri" w:hAnsi="Calibri"/>
          <w:sz w:val="21"/>
          <w:szCs w:val="21"/>
        </w:rPr>
        <w:t xml:space="preserve">Obowiązek współpracy. Członek, do którego zwraca się inny Członek mający zainteresowanego kupującego, podejmuje współpracę. Odmowa jest dopuszczalna wyłącznie z uzasadnionego powodu (np. brak zgody właściciela, konflikt interesów, wcześniejsza relacja z tym samym kupującym, nierozliczona współpraca z drugim Członkiem) i wymaga krótkiego wyjaśnienia przekazanego w Systemie.</w:t>
      </w:r>
    </w:p>
    <w:p>
      <w:pPr>
        <w:tabs>
          <w:tab w:val="left" w:pos="420"/>
        </w:tabs>
        <w:spacing w:after="100" w:line="276"/>
        <w:ind w:left="420" w:hanging="420"/>
      </w:pPr>
      <w:r>
        <w:rPr>
          <w:rFonts w:ascii="Calibri" w:cs="Calibri" w:eastAsia="Calibri" w:hAnsi="Calibri"/>
          <w:sz w:val="21"/>
          <w:szCs w:val="21"/>
        </w:rPr>
        <w:t xml:space="preserve">2.	</w:t>
      </w:r>
      <w:r>
        <w:rPr>
          <w:rFonts w:ascii="Calibri" w:cs="Calibri" w:eastAsia="Calibri" w:hAnsi="Calibri"/>
          <w:sz w:val="21"/>
          <w:szCs w:val="21"/>
        </w:rPr>
        <w:t xml:space="preserve">Współpraca przybiera formę Polecenia albo Wspólnej Transakcji. Formę i zakres obowiązków Członkowie uzgadniają przed pierwszą prezentacją nieruchomości kupującemu.</w:t>
      </w:r>
    </w:p>
    <w:p>
      <w:pPr>
        <w:tabs>
          <w:tab w:val="left" w:pos="420"/>
        </w:tabs>
        <w:spacing w:after="100" w:line="276"/>
        <w:ind w:left="420" w:hanging="420"/>
      </w:pPr>
      <w:r>
        <w:rPr>
          <w:rFonts w:ascii="Calibri" w:cs="Calibri" w:eastAsia="Calibri" w:hAnsi="Calibri"/>
          <w:sz w:val="21"/>
          <w:szCs w:val="21"/>
        </w:rPr>
        <w:t xml:space="preserve">3.	</w:t>
      </w:r>
      <w:r>
        <w:rPr>
          <w:rFonts w:ascii="Calibri" w:cs="Calibri" w:eastAsia="Calibri" w:hAnsi="Calibri"/>
          <w:sz w:val="21"/>
          <w:szCs w:val="21"/>
        </w:rPr>
        <w:t xml:space="preserve">Domyślny podział prowizji – liczony od prowizji netto faktycznie otrzymanej od klienta przez Członka będącego stroną umowy pośrednictwa:</w:t>
      </w:r>
    </w:p>
    <w:p>
      <w:pPr>
        <w:tabs>
          <w:tab w:val="left" w:pos="900"/>
        </w:tabs>
        <w:spacing w:after="60" w:line="276"/>
        <w:ind w:left="900" w:hanging="360"/>
      </w:pPr>
      <w:r>
        <w:rPr>
          <w:rFonts w:ascii="Calibri" w:cs="Calibri" w:eastAsia="Calibri" w:hAnsi="Calibri"/>
          <w:sz w:val="21"/>
          <w:szCs w:val="21"/>
        </w:rPr>
        <w:t xml:space="preserve">a)	</w:t>
      </w:r>
      <w:r>
        <w:rPr>
          <w:rFonts w:ascii="Calibri" w:cs="Calibri" w:eastAsia="Calibri" w:hAnsi="Calibri"/>
          <w:sz w:val="21"/>
          <w:szCs w:val="21"/>
        </w:rPr>
        <w:t xml:space="preserve">Polecenie: 25% dla Członka polecającego, 75% dla Członka obsługującego;</w:t>
      </w:r>
    </w:p>
    <w:p>
      <w:pPr>
        <w:tabs>
          <w:tab w:val="left" w:pos="900"/>
        </w:tabs>
        <w:spacing w:after="60" w:line="276"/>
        <w:ind w:left="900" w:hanging="360"/>
      </w:pPr>
      <w:r>
        <w:rPr>
          <w:rFonts w:ascii="Calibri" w:cs="Calibri" w:eastAsia="Calibri" w:hAnsi="Calibri"/>
          <w:sz w:val="21"/>
          <w:szCs w:val="21"/>
        </w:rPr>
        <w:t xml:space="preserve">b)	</w:t>
      </w:r>
      <w:r>
        <w:rPr>
          <w:rFonts w:ascii="Calibri" w:cs="Calibri" w:eastAsia="Calibri" w:hAnsi="Calibri"/>
          <w:sz w:val="21"/>
          <w:szCs w:val="21"/>
        </w:rPr>
        <w:t xml:space="preserve">Wspólna Transakcja: 50% dla Agenta Oferty, 50% dla Agenta Kupującego.</w:t>
      </w:r>
    </w:p>
    <w:p>
      <w:pPr>
        <w:tabs>
          <w:tab w:val="left" w:pos="420"/>
        </w:tabs>
        <w:spacing w:after="100" w:line="276"/>
        <w:ind w:left="420" w:hanging="420"/>
      </w:pPr>
      <w:r>
        <w:rPr>
          <w:rFonts w:ascii="Calibri" w:cs="Calibri" w:eastAsia="Calibri" w:hAnsi="Calibri"/>
          <w:sz w:val="21"/>
          <w:szCs w:val="21"/>
        </w:rPr>
        <w:t xml:space="preserve">4.	</w:t>
      </w:r>
      <w:r>
        <w:rPr>
          <w:rFonts w:ascii="Calibri" w:cs="Calibri" w:eastAsia="Calibri" w:hAnsi="Calibri"/>
          <w:sz w:val="21"/>
          <w:szCs w:val="21"/>
        </w:rPr>
        <w:t xml:space="preserve">Odstępstwa od domyślnego podziału są możliwe wyłącznie za zgodą obu Członków, potwierdzoną w Systemie lub e-mailem przed pierwszą prezentacją. Brak takiego uzgodnienia oznacza podział domyślny.</w:t>
      </w:r>
    </w:p>
    <w:p>
      <w:pPr>
        <w:tabs>
          <w:tab w:val="left" w:pos="420"/>
        </w:tabs>
        <w:spacing w:after="100" w:line="276"/>
        <w:ind w:left="420" w:hanging="420"/>
      </w:pPr>
      <w:r>
        <w:rPr>
          <w:rFonts w:ascii="Calibri" w:cs="Calibri" w:eastAsia="Calibri" w:hAnsi="Calibri"/>
          <w:sz w:val="21"/>
          <w:szCs w:val="21"/>
        </w:rPr>
        <w:t xml:space="preserve">5.	</w:t>
      </w:r>
      <w:r>
        <w:rPr>
          <w:rFonts w:ascii="Calibri" w:cs="Calibri" w:eastAsia="Calibri" w:hAnsi="Calibri"/>
          <w:sz w:val="21"/>
          <w:szCs w:val="21"/>
        </w:rPr>
        <w:t xml:space="preserve">Przypisanie kupującego. Kupujący jest przypisany do Członka, który jako pierwszy zarejestrował go w Systemie w odniesieniu do danej oferty lub poszukiwania, chyba że inny Członek wykaże wcześniejszą, udokumentowaną i aktywną relację z tym kupującym (umowa, korespondencja, prezentacja).</w:t>
      </w:r>
    </w:p>
    <w:p>
      <w:pPr>
        <w:tabs>
          <w:tab w:val="left" w:pos="420"/>
        </w:tabs>
        <w:spacing w:after="100" w:line="276"/>
        <w:ind w:left="420" w:hanging="420"/>
      </w:pPr>
      <w:r>
        <w:rPr>
          <w:rFonts w:ascii="Calibri" w:cs="Calibri" w:eastAsia="Calibri" w:hAnsi="Calibri"/>
          <w:sz w:val="21"/>
          <w:szCs w:val="21"/>
        </w:rPr>
        <w:t xml:space="preserve">6.	</w:t>
      </w:r>
      <w:r>
        <w:rPr>
          <w:rFonts w:ascii="Calibri" w:cs="Calibri" w:eastAsia="Calibri" w:hAnsi="Calibri"/>
          <w:sz w:val="21"/>
          <w:szCs w:val="21"/>
        </w:rPr>
        <w:t xml:space="preserve">Okres ochrony. Prawo do udziału w prowizji trwa 12 miesięcy od Polecenia lub rejestracji kupującego i obejmuje transakcję dotyczącą poleconej nieruchomości, a przy Poleceniu kupującego – każdą nieruchomość nabytą przez niego w tym okresie za pośrednictwem Członka obsługującego.</w:t>
      </w:r>
    </w:p>
    <w:p>
      <w:pPr>
        <w:tabs>
          <w:tab w:val="left" w:pos="420"/>
        </w:tabs>
        <w:spacing w:after="100" w:line="276"/>
        <w:ind w:left="420" w:hanging="420"/>
      </w:pPr>
      <w:r>
        <w:rPr>
          <w:rFonts w:ascii="Calibri" w:cs="Calibri" w:eastAsia="Calibri" w:hAnsi="Calibri"/>
          <w:sz w:val="21"/>
          <w:szCs w:val="21"/>
        </w:rPr>
        <w:t xml:space="preserve">7.	</w:t>
      </w:r>
      <w:r>
        <w:rPr>
          <w:rFonts w:ascii="Calibri" w:cs="Calibri" w:eastAsia="Calibri" w:hAnsi="Calibri"/>
          <w:sz w:val="21"/>
          <w:szCs w:val="21"/>
        </w:rPr>
        <w:t xml:space="preserve">Zakaz obchodzenia. W okresie ochrony Członek nie zawiera transakcji z klientem poleconym lub przedstawionym przez innego Członka z pominięciem tego Członka ani nie nakłania klienta do takiego pominięcia.</w:t>
      </w:r>
    </w:p>
    <w:p>
      <w:pPr>
        <w:tabs>
          <w:tab w:val="left" w:pos="420"/>
        </w:tabs>
        <w:spacing w:after="100" w:line="276"/>
        <w:ind w:left="420" w:hanging="420"/>
      </w:pPr>
      <w:r>
        <w:rPr>
          <w:rFonts w:ascii="Calibri" w:cs="Calibri" w:eastAsia="Calibri" w:hAnsi="Calibri"/>
          <w:sz w:val="21"/>
          <w:szCs w:val="21"/>
        </w:rPr>
        <w:t xml:space="preserve">8.	</w:t>
      </w:r>
      <w:r>
        <w:rPr>
          <w:rFonts w:ascii="Calibri" w:cs="Calibri" w:eastAsia="Calibri" w:hAnsi="Calibri"/>
          <w:sz w:val="21"/>
          <w:szCs w:val="21"/>
        </w:rPr>
        <w:t xml:space="preserve">Rozliczenie. Członek, który otrzymał prowizję, informuje drugiego Członka o zamknięciu transakcji i wysokości prowizji w ciągu 7 dni, a należny udział wypłaca na podstawie faktury w ciągu 14 dni od otrzymania prowizji. Rozliczenia następują bezpośrednio między Członkami; Vesteri nie jest ich stroną i nie odpowiada za ich wykonanie.</w:t>
      </w:r>
    </w:p>
    <w:p>
      <w:pPr>
        <w:tabs>
          <w:tab w:val="left" w:pos="420"/>
        </w:tabs>
        <w:spacing w:after="100" w:line="276"/>
        <w:ind w:left="420" w:hanging="420"/>
      </w:pPr>
      <w:r>
        <w:rPr>
          <w:rFonts w:ascii="Calibri" w:cs="Calibri" w:eastAsia="Calibri" w:hAnsi="Calibri"/>
          <w:sz w:val="21"/>
          <w:szCs w:val="21"/>
        </w:rPr>
        <w:t xml:space="preserve">9.	</w:t>
      </w:r>
      <w:r>
        <w:rPr>
          <w:rFonts w:ascii="Calibri" w:cs="Calibri" w:eastAsia="Calibri" w:hAnsi="Calibri"/>
          <w:sz w:val="21"/>
          <w:szCs w:val="21"/>
        </w:rPr>
        <w:t xml:space="preserve">Współpraca transgraniczna podlega dodatkowo prawu rynku, na którym znajduje się nieruchomość. Członek nieposiadający wymaganych na tym rynku uprawnień działa wyłącznie w roli polecającego.</w:t>
      </w:r>
    </w:p>
    <w:p>
      <w:pPr>
        <w:pStyle w:val="Heading2"/>
        <w:spacing w:after="120" w:before="280"/>
      </w:pPr>
      <w:r>
        <w:rPr>
          <w:rFonts w:ascii="Calibri" w:cs="Calibri" w:eastAsia="Calibri" w:hAnsi="Calibri"/>
          <w:b/>
          <w:bCs/>
          <w:color w:val="0F766E"/>
          <w:sz w:val="24"/>
          <w:szCs w:val="24"/>
        </w:rPr>
        <w:t xml:space="preserve">§ 5. Portfolio zagraniczne Vesteri</w:t>
      </w:r>
    </w:p>
    <w:p>
      <w:pPr>
        <w:tabs>
          <w:tab w:val="left" w:pos="420"/>
        </w:tabs>
        <w:spacing w:after="100" w:line="276"/>
        <w:ind w:left="420" w:hanging="420"/>
      </w:pPr>
      <w:r>
        <w:rPr>
          <w:rFonts w:ascii="Calibri" w:cs="Calibri" w:eastAsia="Calibri" w:hAnsi="Calibri"/>
          <w:sz w:val="21"/>
          <w:szCs w:val="21"/>
        </w:rPr>
        <w:t xml:space="preserve">1.	</w:t>
      </w:r>
      <w:r>
        <w:rPr>
          <w:rFonts w:ascii="Calibri" w:cs="Calibri" w:eastAsia="Calibri" w:hAnsi="Calibri"/>
          <w:sz w:val="21"/>
          <w:szCs w:val="21"/>
        </w:rPr>
        <w:t xml:space="preserve">Vesteri udostępnia Członkom wybrane inwestycje zagraniczne, w których Vesteri lub jego partner pełni rolę Agenta Oferty na podstawie umów z deweloperami.</w:t>
      </w:r>
    </w:p>
    <w:p>
      <w:pPr>
        <w:tabs>
          <w:tab w:val="left" w:pos="420"/>
        </w:tabs>
        <w:spacing w:after="100" w:line="276"/>
        <w:ind w:left="420" w:hanging="420"/>
      </w:pPr>
      <w:r>
        <w:rPr>
          <w:rFonts w:ascii="Calibri" w:cs="Calibri" w:eastAsia="Calibri" w:hAnsi="Calibri"/>
          <w:sz w:val="21"/>
          <w:szCs w:val="21"/>
        </w:rPr>
        <w:t xml:space="preserve">2.	</w:t>
      </w:r>
      <w:r>
        <w:rPr>
          <w:rFonts w:ascii="Calibri" w:cs="Calibri" w:eastAsia="Calibri" w:hAnsi="Calibri"/>
          <w:sz w:val="21"/>
          <w:szCs w:val="21"/>
        </w:rPr>
        <w:t xml:space="preserve">Członek, który pozyska kupującego dla takiej inwestycji, otrzymuje większą część prowizji należnej od dewelopera – nie mniej niż </w:t>
      </w:r>
      <w:r>
        <w:rPr>
          <w:rFonts w:ascii="Calibri" w:cs="Calibri" w:eastAsia="Calibri" w:hAnsi="Calibri"/>
          <w:sz w:val="21"/>
          <w:szCs w:val="21"/>
        </w:rPr>
        <w:t xml:space="preserve">60%</w:t>
      </w:r>
      <w:r>
        <w:rPr>
          <w:rFonts w:ascii="Calibri" w:cs="Calibri" w:eastAsia="Calibri" w:hAnsi="Calibri"/>
          <w:sz w:val="21"/>
          <w:szCs w:val="21"/>
        </w:rPr>
        <w:t xml:space="preserve"> – na warunkach podanych w karcie oferty w Systemie lub uzgodnionych indywidualnie przed pierwszą prezentacją.</w:t>
      </w:r>
    </w:p>
    <w:p>
      <w:pPr>
        <w:tabs>
          <w:tab w:val="left" w:pos="420"/>
        </w:tabs>
        <w:spacing w:after="100" w:line="276"/>
        <w:ind w:left="420" w:hanging="420"/>
      </w:pPr>
      <w:r>
        <w:rPr>
          <w:rFonts w:ascii="Calibri" w:cs="Calibri" w:eastAsia="Calibri" w:hAnsi="Calibri"/>
          <w:sz w:val="21"/>
          <w:szCs w:val="21"/>
        </w:rPr>
        <w:t xml:space="preserve">3.	</w:t>
      </w:r>
      <w:r>
        <w:rPr>
          <w:rFonts w:ascii="Calibri" w:cs="Calibri" w:eastAsia="Calibri" w:hAnsi="Calibri"/>
          <w:sz w:val="21"/>
          <w:szCs w:val="21"/>
        </w:rPr>
        <w:t xml:space="preserve">Vesteri organizuje prezentacje LIVE, webinary i kontakt z deweloperem oraz wspiera proces zakupu w zakresie wskazanym w karcie oferty. Vesteri nie odpowiada za stan prawny i techniczny inwestycji ani za jej realizację przez dewelopera. Członek informuje kupującego o potrzebie niezależnej analizy prawnej przed zakupem.</w:t>
      </w:r>
    </w:p>
    <w:p>
      <w:pPr>
        <w:pStyle w:val="Heading2"/>
        <w:spacing w:after="120" w:before="280"/>
      </w:pPr>
      <w:r>
        <w:rPr>
          <w:rFonts w:ascii="Calibri" w:cs="Calibri" w:eastAsia="Calibri" w:hAnsi="Calibri"/>
          <w:b/>
          <w:bCs/>
          <w:color w:val="0F766E"/>
          <w:sz w:val="24"/>
          <w:szCs w:val="24"/>
        </w:rPr>
        <w:t xml:space="preserve">§ 6. Opłaty</w:t>
      </w:r>
    </w:p>
    <w:p>
      <w:pPr>
        <w:tabs>
          <w:tab w:val="left" w:pos="420"/>
        </w:tabs>
        <w:spacing w:after="100" w:line="276"/>
        <w:ind w:left="420" w:hanging="420"/>
      </w:pPr>
      <w:r>
        <w:rPr>
          <w:rFonts w:ascii="Calibri" w:cs="Calibri" w:eastAsia="Calibri" w:hAnsi="Calibri"/>
          <w:sz w:val="21"/>
          <w:szCs w:val="21"/>
        </w:rPr>
        <w:t xml:space="preserve">1.	</w:t>
      </w:r>
      <w:r>
        <w:rPr>
          <w:rFonts w:ascii="Calibri" w:cs="Calibri" w:eastAsia="Calibri" w:hAnsi="Calibri"/>
          <w:sz w:val="21"/>
          <w:szCs w:val="21"/>
        </w:rPr>
        <w:t xml:space="preserve">Zgłoszenie, członkostwo, standardowa publikacja ofert i podstawowe funkcje Systemu są bezpłatne.</w:t>
      </w:r>
    </w:p>
    <w:p>
      <w:pPr>
        <w:tabs>
          <w:tab w:val="left" w:pos="420"/>
        </w:tabs>
        <w:spacing w:after="100" w:line="276"/>
        <w:ind w:left="420" w:hanging="420"/>
      </w:pPr>
      <w:r>
        <w:rPr>
          <w:rFonts w:ascii="Calibri" w:cs="Calibri" w:eastAsia="Calibri" w:hAnsi="Calibri"/>
          <w:sz w:val="21"/>
          <w:szCs w:val="21"/>
        </w:rPr>
        <w:t xml:space="preserve">2.	</w:t>
      </w:r>
      <w:r>
        <w:rPr>
          <w:rFonts w:ascii="Calibri" w:cs="Calibri" w:eastAsia="Calibri" w:hAnsi="Calibri"/>
          <w:sz w:val="21"/>
          <w:szCs w:val="21"/>
        </w:rPr>
        <w:t xml:space="preserve">Funkcje premium są płatne według cennika dostępnego w koncie Członka (rozliczenie za użycie albo abonament). Zmiany cennika ogłaszane są z 30-dniowym wyprzedzeniem.</w:t>
      </w:r>
    </w:p>
    <w:p>
      <w:pPr>
        <w:tabs>
          <w:tab w:val="left" w:pos="420"/>
        </w:tabs>
        <w:spacing w:after="100" w:line="276"/>
        <w:ind w:left="420" w:hanging="420"/>
      </w:pPr>
      <w:r>
        <w:rPr>
          <w:rFonts w:ascii="Calibri" w:cs="Calibri" w:eastAsia="Calibri" w:hAnsi="Calibri"/>
          <w:sz w:val="21"/>
          <w:szCs w:val="21"/>
        </w:rPr>
        <w:t xml:space="preserve">3.	</w:t>
      </w:r>
      <w:r>
        <w:rPr>
          <w:rFonts w:ascii="Calibri" w:cs="Calibri" w:eastAsia="Calibri" w:hAnsi="Calibri"/>
          <w:sz w:val="21"/>
          <w:szCs w:val="21"/>
        </w:rPr>
        <w:t xml:space="preserve">Vesteri nie pobiera obecnie udziału w prowizjach z Poleceń ani Wspólnych Transakcji między Członkami. Vesteri może wprowadzić taką opłatę w przyszłości, informując o tym z co najmniej 60-dniowym wyprzedzeniem; opłata nie obejmie współprac rozpoczętych przed jej wejściem w życie.</w:t>
      </w:r>
    </w:p>
    <w:p>
      <w:pPr>
        <w:tabs>
          <w:tab w:val="left" w:pos="420"/>
        </w:tabs>
        <w:spacing w:after="100" w:line="276"/>
        <w:ind w:left="420" w:hanging="420"/>
      </w:pPr>
      <w:r>
        <w:rPr>
          <w:rFonts w:ascii="Calibri" w:cs="Calibri" w:eastAsia="Calibri" w:hAnsi="Calibri"/>
          <w:sz w:val="21"/>
          <w:szCs w:val="21"/>
        </w:rPr>
        <w:t xml:space="preserve">4.	</w:t>
      </w:r>
      <w:r>
        <w:rPr>
          <w:rFonts w:ascii="Calibri" w:cs="Calibri" w:eastAsia="Calibri" w:hAnsi="Calibri"/>
          <w:sz w:val="21"/>
          <w:szCs w:val="21"/>
        </w:rPr>
        <w:t xml:space="preserve">Vesteri przeznacza co najmniej 10% swoich przychodów z działalności Vesteri na promocję Collective jako całości. Nie stanowi to gwarancji ruchu, zapytań ani sprzedaży dla poszczególnych Członków.</w:t>
      </w:r>
    </w:p>
    <w:p>
      <w:pPr>
        <w:pStyle w:val="Heading2"/>
        <w:spacing w:after="120" w:before="280"/>
      </w:pPr>
      <w:r>
        <w:rPr>
          <w:rFonts w:ascii="Calibri" w:cs="Calibri" w:eastAsia="Calibri" w:hAnsi="Calibri"/>
          <w:b/>
          <w:bCs/>
          <w:color w:val="0F766E"/>
          <w:sz w:val="24"/>
          <w:szCs w:val="24"/>
        </w:rPr>
        <w:t xml:space="preserve">§ 7. Dane osobowe</w:t>
      </w:r>
    </w:p>
    <w:p>
      <w:pPr>
        <w:tabs>
          <w:tab w:val="left" w:pos="420"/>
        </w:tabs>
        <w:spacing w:after="100" w:line="276"/>
        <w:ind w:left="420" w:hanging="420"/>
      </w:pPr>
      <w:r>
        <w:rPr>
          <w:rFonts w:ascii="Calibri" w:cs="Calibri" w:eastAsia="Calibri" w:hAnsi="Calibri"/>
          <w:sz w:val="21"/>
          <w:szCs w:val="21"/>
        </w:rPr>
        <w:t xml:space="preserve">1.	</w:t>
      </w:r>
      <w:r>
        <w:rPr>
          <w:rFonts w:ascii="Calibri" w:cs="Calibri" w:eastAsia="Calibri" w:hAnsi="Calibri"/>
          <w:sz w:val="21"/>
          <w:szCs w:val="21"/>
        </w:rPr>
        <w:t xml:space="preserve">Każdy Członek jest samodzielnym administratorem danych swoich klientów. Przekazując dane kupującego lub sprzedającego w ramach Polecenia lub Wspólnej Transakcji, Członek zapewnia, że ma do tego podstawę prawną i poinformował tę osobę o przekazaniu. Członek otrzymujący dane wykorzystuje je wyłącznie w celu danej współpracy.</w:t>
      </w:r>
    </w:p>
    <w:p>
      <w:pPr>
        <w:tabs>
          <w:tab w:val="left" w:pos="420"/>
        </w:tabs>
        <w:spacing w:after="100" w:line="276"/>
        <w:ind w:left="420" w:hanging="420"/>
      </w:pPr>
      <w:r>
        <w:rPr>
          <w:rFonts w:ascii="Calibri" w:cs="Calibri" w:eastAsia="Calibri" w:hAnsi="Calibri"/>
          <w:sz w:val="21"/>
          <w:szCs w:val="21"/>
        </w:rPr>
        <w:t xml:space="preserve">2.	</w:t>
      </w:r>
      <w:r>
        <w:rPr>
          <w:rFonts w:ascii="Calibri" w:cs="Calibri" w:eastAsia="Calibri" w:hAnsi="Calibri"/>
          <w:sz w:val="21"/>
          <w:szCs w:val="21"/>
        </w:rPr>
        <w:t xml:space="preserve">Przetwarzanie danych w Systemie przez Vesteri określają Polityka prywatności oraz Regulamin Platformy, w tym umowa powierzenia przetwarzania, gdy ma zastosowanie.</w:t>
      </w:r>
    </w:p>
    <w:p>
      <w:pPr>
        <w:tabs>
          <w:tab w:val="left" w:pos="420"/>
        </w:tabs>
        <w:spacing w:after="100" w:line="276"/>
        <w:ind w:left="420" w:hanging="420"/>
      </w:pPr>
      <w:r>
        <w:rPr>
          <w:rFonts w:ascii="Calibri" w:cs="Calibri" w:eastAsia="Calibri" w:hAnsi="Calibri"/>
          <w:sz w:val="21"/>
          <w:szCs w:val="21"/>
        </w:rPr>
        <w:t xml:space="preserve">3.	</w:t>
      </w:r>
      <w:r>
        <w:rPr>
          <w:rFonts w:ascii="Calibri" w:cs="Calibri" w:eastAsia="Calibri" w:hAnsi="Calibri"/>
          <w:sz w:val="21"/>
          <w:szCs w:val="21"/>
        </w:rPr>
        <w:t xml:space="preserve">Zakazane jest pobieranie, kopiowanie i wykorzystywanie danych innych Członków lub ich klientów poza celem współpracy w Collective.</w:t>
      </w:r>
    </w:p>
    <w:p>
      <w:pPr>
        <w:pStyle w:val="Heading2"/>
        <w:spacing w:after="120" w:before="280"/>
      </w:pPr>
      <w:r>
        <w:rPr>
          <w:rFonts w:ascii="Calibri" w:cs="Calibri" w:eastAsia="Calibri" w:hAnsi="Calibri"/>
          <w:b/>
          <w:bCs/>
          <w:color w:val="0F766E"/>
          <w:sz w:val="24"/>
          <w:szCs w:val="24"/>
        </w:rPr>
        <w:t xml:space="preserve">§ 8. Naruszenia, zawieszenie i wykluczenie</w:t>
      </w:r>
    </w:p>
    <w:p>
      <w:pPr>
        <w:tabs>
          <w:tab w:val="left" w:pos="420"/>
        </w:tabs>
        <w:spacing w:after="100" w:line="276"/>
        <w:ind w:left="420" w:hanging="420"/>
      </w:pPr>
      <w:r>
        <w:rPr>
          <w:rFonts w:ascii="Calibri" w:cs="Calibri" w:eastAsia="Calibri" w:hAnsi="Calibri"/>
          <w:sz w:val="21"/>
          <w:szCs w:val="21"/>
        </w:rPr>
        <w:t xml:space="preserve">1.	</w:t>
      </w:r>
      <w:r>
        <w:rPr>
          <w:rFonts w:ascii="Calibri" w:cs="Calibri" w:eastAsia="Calibri" w:hAnsi="Calibri"/>
          <w:sz w:val="21"/>
          <w:szCs w:val="21"/>
        </w:rPr>
        <w:t xml:space="preserve">Naruszenie Regulaminu można zgłosić do Vesteri na adres </w:t>
      </w:r>
      <w:r>
        <w:rPr>
          <w:rFonts w:ascii="Calibri" w:cs="Calibri" w:eastAsia="Calibri" w:hAnsi="Calibri"/>
          <w:sz w:val="21"/>
          <w:szCs w:val="21"/>
        </w:rPr>
        <w:t xml:space="preserve">collective@vesteri.com</w:t>
      </w:r>
      <w:r>
        <w:rPr>
          <w:rFonts w:ascii="Calibri" w:cs="Calibri" w:eastAsia="Calibri" w:hAnsi="Calibri"/>
          <w:sz w:val="21"/>
          <w:szCs w:val="21"/>
        </w:rPr>
        <w:t xml:space="preserve">, podając opis i dowody. Vesteri może także wszcząć postępowanie z własnej inicjatywy.</w:t>
      </w:r>
    </w:p>
    <w:p>
      <w:pPr>
        <w:tabs>
          <w:tab w:val="left" w:pos="420"/>
        </w:tabs>
        <w:spacing w:after="100" w:line="276"/>
        <w:ind w:left="420" w:hanging="420"/>
      </w:pPr>
      <w:r>
        <w:rPr>
          <w:rFonts w:ascii="Calibri" w:cs="Calibri" w:eastAsia="Calibri" w:hAnsi="Calibri"/>
          <w:sz w:val="21"/>
          <w:szCs w:val="21"/>
        </w:rPr>
        <w:t xml:space="preserve">2.	</w:t>
      </w:r>
      <w:r>
        <w:rPr>
          <w:rFonts w:ascii="Calibri" w:cs="Calibri" w:eastAsia="Calibri" w:hAnsi="Calibri"/>
          <w:sz w:val="21"/>
          <w:szCs w:val="21"/>
        </w:rPr>
        <w:t xml:space="preserve">Postępowanie: Vesteri przedstawia Członkowi zarzuty; Członek ma 7 dni na wyjaśnienia; Vesteri wydaje decyzję z uzasadnieniem w ciągu 14 dni od otrzymania wyjaśnień lub upływu terminu.</w:t>
      </w:r>
    </w:p>
    <w:p>
      <w:pPr>
        <w:tabs>
          <w:tab w:val="left" w:pos="420"/>
        </w:tabs>
        <w:spacing w:after="100" w:line="276"/>
        <w:ind w:left="420" w:hanging="420"/>
      </w:pPr>
      <w:r>
        <w:rPr>
          <w:rFonts w:ascii="Calibri" w:cs="Calibri" w:eastAsia="Calibri" w:hAnsi="Calibri"/>
          <w:sz w:val="21"/>
          <w:szCs w:val="21"/>
        </w:rPr>
        <w:t xml:space="preserve">3.	</w:t>
      </w:r>
      <w:r>
        <w:rPr>
          <w:rFonts w:ascii="Calibri" w:cs="Calibri" w:eastAsia="Calibri" w:hAnsi="Calibri"/>
          <w:sz w:val="21"/>
          <w:szCs w:val="21"/>
        </w:rPr>
        <w:t xml:space="preserve">Środki stosowane odpowiednio do wagi naruszenia: upomnienie; zobowiązanie do naprawienia naruszenia (np. uzupełnienie rozliczenia); zawieszenie publikacji ofert lub członkostwa do 90 dni; wykluczenie.</w:t>
      </w:r>
    </w:p>
    <w:p>
      <w:pPr>
        <w:tabs>
          <w:tab w:val="left" w:pos="420"/>
        </w:tabs>
        <w:spacing w:after="100" w:line="276"/>
        <w:ind w:left="420" w:hanging="420"/>
      </w:pPr>
      <w:r>
        <w:rPr>
          <w:rFonts w:ascii="Calibri" w:cs="Calibri" w:eastAsia="Calibri" w:hAnsi="Calibri"/>
          <w:sz w:val="21"/>
          <w:szCs w:val="21"/>
        </w:rPr>
        <w:t xml:space="preserve">4.	</w:t>
      </w:r>
      <w:r>
        <w:rPr>
          <w:rFonts w:ascii="Calibri" w:cs="Calibri" w:eastAsia="Calibri" w:hAnsi="Calibri"/>
          <w:sz w:val="21"/>
          <w:szCs w:val="21"/>
        </w:rPr>
        <w:t xml:space="preserve">Wykluczenie stosuje się przy poważnym naruszeniu (w szczególności: oszustwo, obejście innego Członka, świadome wprowadzenie kupującego w błąd, utrata uprawnień zawodowych) albo przy naruszeniach powtarzających się mimo upomnienia.</w:t>
      </w:r>
    </w:p>
    <w:p>
      <w:pPr>
        <w:tabs>
          <w:tab w:val="left" w:pos="420"/>
        </w:tabs>
        <w:spacing w:after="100" w:line="276"/>
        <w:ind w:left="420" w:hanging="420"/>
      </w:pPr>
      <w:r>
        <w:rPr>
          <w:rFonts w:ascii="Calibri" w:cs="Calibri" w:eastAsia="Calibri" w:hAnsi="Calibri"/>
          <w:sz w:val="21"/>
          <w:szCs w:val="21"/>
        </w:rPr>
        <w:t xml:space="preserve">5.	</w:t>
      </w:r>
      <w:r>
        <w:rPr>
          <w:rFonts w:ascii="Calibri" w:cs="Calibri" w:eastAsia="Calibri" w:hAnsi="Calibri"/>
          <w:sz w:val="21"/>
          <w:szCs w:val="21"/>
        </w:rPr>
        <w:t xml:space="preserve">Jeżeli dalsza aktywność Członka grozi szkodą dla kupujących lub sieci, Vesteri może zawiesić Członka ze skutkiem natychmiastowym na czas postępowania.</w:t>
      </w:r>
    </w:p>
    <w:p>
      <w:pPr>
        <w:tabs>
          <w:tab w:val="left" w:pos="420"/>
        </w:tabs>
        <w:spacing w:after="100" w:line="276"/>
        <w:ind w:left="420" w:hanging="420"/>
      </w:pPr>
      <w:r>
        <w:rPr>
          <w:rFonts w:ascii="Calibri" w:cs="Calibri" w:eastAsia="Calibri" w:hAnsi="Calibri"/>
          <w:sz w:val="21"/>
          <w:szCs w:val="21"/>
        </w:rPr>
        <w:t xml:space="preserve">6.	</w:t>
      </w:r>
      <w:r>
        <w:rPr>
          <w:rFonts w:ascii="Calibri" w:cs="Calibri" w:eastAsia="Calibri" w:hAnsi="Calibri"/>
          <w:sz w:val="21"/>
          <w:szCs w:val="21"/>
        </w:rPr>
        <w:t xml:space="preserve">Od decyzji przysługuje odwołanie w ciągu 14 dni, rozpatrywane w ciągu 30 dni. Dopóki Collective liczy nie więcej niż 100 Członków, odwołania rozpatruje Zarząd (Board of Directors) Time2Show, Inc. Po przekroczeniu 100 Członków powoływana jest Komisja Collective, która przejmuje rozpatrywanie odwołań. Decyzja odwoławcza jest ostateczna w ramach Collective i nie wyłącza drogi sądowej.</w:t>
      </w:r>
      <w:r>
        <w:rPr>
          <w:rFonts w:ascii="Calibri" w:cs="Calibri" w:eastAsia="Calibri" w:hAnsi="Calibri"/>
          <w:sz w:val="21"/>
          <w:szCs w:val="21"/>
        </w:rPr>
        <w:t xml:space="preserve"/>
      </w:r>
      <w:r>
        <w:rPr>
          <w:rFonts w:ascii="Calibri" w:cs="Calibri" w:eastAsia="Calibri" w:hAnsi="Calibri"/>
          <w:sz w:val="21"/>
          <w:szCs w:val="21"/>
        </w:rPr>
        <w:t xml:space="preserve"/>
      </w:r>
    </w:p>
    <w:p>
      <w:pPr>
        <w:tabs>
          <w:tab w:val="left" w:pos="420"/>
        </w:tabs>
        <w:spacing w:after="100" w:line="276"/>
        <w:ind w:left="420" w:hanging="420"/>
      </w:pPr>
      <w:r>
        <w:rPr>
          <w:rFonts w:ascii="Calibri" w:cs="Calibri" w:eastAsia="Calibri" w:hAnsi="Calibri"/>
          <w:sz w:val="21"/>
          <w:szCs w:val="21"/>
        </w:rPr>
        <w:t xml:space="preserve">7.	</w:t>
      </w:r>
      <w:r>
        <w:rPr>
          <w:rFonts w:ascii="Calibri" w:cs="Calibri" w:eastAsia="Calibri" w:hAnsi="Calibri"/>
          <w:sz w:val="21"/>
          <w:szCs w:val="21"/>
        </w:rPr>
        <w:t xml:space="preserve">Zawieszenie ani wykluczenie nie zwalniają z rozliczenia rozpoczętych Poleceń i Wspólnych Transakcji.</w:t>
      </w:r>
    </w:p>
    <w:p>
      <w:pPr>
        <w:pStyle w:val="Heading2"/>
        <w:spacing w:after="120" w:before="280"/>
      </w:pPr>
      <w:r>
        <w:rPr>
          <w:rFonts w:ascii="Calibri" w:cs="Calibri" w:eastAsia="Calibri" w:hAnsi="Calibri"/>
          <w:b/>
          <w:bCs/>
          <w:color w:val="0F766E"/>
          <w:sz w:val="24"/>
          <w:szCs w:val="24"/>
        </w:rPr>
        <w:t xml:space="preserve">§ 9. Czas trwania i zakończenie członkostwa</w:t>
      </w:r>
    </w:p>
    <w:p>
      <w:pPr>
        <w:tabs>
          <w:tab w:val="left" w:pos="420"/>
        </w:tabs>
        <w:spacing w:after="100" w:line="276"/>
        <w:ind w:left="420" w:hanging="420"/>
      </w:pPr>
      <w:r>
        <w:rPr>
          <w:rFonts w:ascii="Calibri" w:cs="Calibri" w:eastAsia="Calibri" w:hAnsi="Calibri"/>
          <w:sz w:val="21"/>
          <w:szCs w:val="21"/>
        </w:rPr>
        <w:t xml:space="preserve">1.	</w:t>
      </w:r>
      <w:r>
        <w:rPr>
          <w:rFonts w:ascii="Calibri" w:cs="Calibri" w:eastAsia="Calibri" w:hAnsi="Calibri"/>
          <w:sz w:val="21"/>
          <w:szCs w:val="21"/>
        </w:rPr>
        <w:t xml:space="preserve">Członkostwo jest zawierane na czas nieokreślony.</w:t>
      </w:r>
    </w:p>
    <w:p>
      <w:pPr>
        <w:tabs>
          <w:tab w:val="left" w:pos="420"/>
        </w:tabs>
        <w:spacing w:after="100" w:line="276"/>
        <w:ind w:left="420" w:hanging="420"/>
      </w:pPr>
      <w:r>
        <w:rPr>
          <w:rFonts w:ascii="Calibri" w:cs="Calibri" w:eastAsia="Calibri" w:hAnsi="Calibri"/>
          <w:sz w:val="21"/>
          <w:szCs w:val="21"/>
        </w:rPr>
        <w:t xml:space="preserve">2.	</w:t>
      </w:r>
      <w:r>
        <w:rPr>
          <w:rFonts w:ascii="Calibri" w:cs="Calibri" w:eastAsia="Calibri" w:hAnsi="Calibri"/>
          <w:sz w:val="21"/>
          <w:szCs w:val="21"/>
        </w:rPr>
        <w:t xml:space="preserve">Członek może zrezygnować z członkostwa w każdej chwili, składając oświadczenie w Systemie lub e-mailem.</w:t>
      </w:r>
    </w:p>
    <w:p>
      <w:pPr>
        <w:tabs>
          <w:tab w:val="left" w:pos="420"/>
        </w:tabs>
        <w:spacing w:after="100" w:line="276"/>
        <w:ind w:left="420" w:hanging="420"/>
      </w:pPr>
      <w:r>
        <w:rPr>
          <w:rFonts w:ascii="Calibri" w:cs="Calibri" w:eastAsia="Calibri" w:hAnsi="Calibri"/>
          <w:sz w:val="21"/>
          <w:szCs w:val="21"/>
        </w:rPr>
        <w:t xml:space="preserve">3.	</w:t>
      </w:r>
      <w:r>
        <w:rPr>
          <w:rFonts w:ascii="Calibri" w:cs="Calibri" w:eastAsia="Calibri" w:hAnsi="Calibri"/>
          <w:sz w:val="21"/>
          <w:szCs w:val="21"/>
        </w:rPr>
        <w:t xml:space="preserve">Vesteri może wypowiedzieć członkostwo z zachowaniem 30-dniowego terminu bez podania przyczyny, a ze skutkiem natychmiastowym w przypadkach określonych w § 8.</w:t>
      </w:r>
    </w:p>
    <w:p>
      <w:pPr>
        <w:tabs>
          <w:tab w:val="left" w:pos="420"/>
        </w:tabs>
        <w:spacing w:after="100" w:line="276"/>
        <w:ind w:left="420" w:hanging="420"/>
      </w:pPr>
      <w:r>
        <w:rPr>
          <w:rFonts w:ascii="Calibri" w:cs="Calibri" w:eastAsia="Calibri" w:hAnsi="Calibri"/>
          <w:sz w:val="21"/>
          <w:szCs w:val="21"/>
        </w:rPr>
        <w:t xml:space="preserve">4.	</w:t>
      </w:r>
      <w:r>
        <w:rPr>
          <w:rFonts w:ascii="Calibri" w:cs="Calibri" w:eastAsia="Calibri" w:hAnsi="Calibri"/>
          <w:sz w:val="21"/>
          <w:szCs w:val="21"/>
        </w:rPr>
        <w:t xml:space="preserve">Z chwilą zakończenia członkostwa oferty Członka są usuwane z Marketplace, a prawo do oznaczenia „Członek Vesteri Collective” wygasa. Rozpoczęte Polecenia i Wspólne Transakcje rozlicza się zgodnie z § 4, z zachowaniem okresu ochrony.</w:t>
      </w:r>
    </w:p>
    <w:p>
      <w:pPr>
        <w:pStyle w:val="Heading2"/>
        <w:spacing w:after="120" w:before="280"/>
      </w:pPr>
      <w:r>
        <w:rPr>
          <w:rFonts w:ascii="Calibri" w:cs="Calibri" w:eastAsia="Calibri" w:hAnsi="Calibri"/>
          <w:b/>
          <w:bCs/>
          <w:color w:val="0F766E"/>
          <w:sz w:val="24"/>
          <w:szCs w:val="24"/>
        </w:rPr>
        <w:t xml:space="preserve">§ 10. Odpowiedzialność</w:t>
      </w:r>
    </w:p>
    <w:p>
      <w:pPr>
        <w:tabs>
          <w:tab w:val="left" w:pos="420"/>
        </w:tabs>
        <w:spacing w:after="100" w:line="276"/>
        <w:ind w:left="420" w:hanging="420"/>
      </w:pPr>
      <w:r>
        <w:rPr>
          <w:rFonts w:ascii="Calibri" w:cs="Calibri" w:eastAsia="Calibri" w:hAnsi="Calibri"/>
          <w:sz w:val="21"/>
          <w:szCs w:val="21"/>
        </w:rPr>
        <w:t xml:space="preserve">1.	</w:t>
      </w:r>
      <w:r>
        <w:rPr>
          <w:rFonts w:ascii="Calibri" w:cs="Calibri" w:eastAsia="Calibri" w:hAnsi="Calibri"/>
          <w:sz w:val="21"/>
          <w:szCs w:val="21"/>
        </w:rPr>
        <w:t xml:space="preserve">Vesteri świadczy usługi technologiczne, marketingowe i organizacyjne. Nie jest stroną umów pośrednictwa, umów sprzedaży ani rozliczeń między Członkami i nie weryfikuje stanu prawnego ani technicznego nieruchomości publikowanych przez Członków.</w:t>
      </w:r>
    </w:p>
    <w:p>
      <w:pPr>
        <w:tabs>
          <w:tab w:val="left" w:pos="420"/>
        </w:tabs>
        <w:spacing w:after="100" w:line="276"/>
        <w:ind w:left="420" w:hanging="420"/>
      </w:pPr>
      <w:r>
        <w:rPr>
          <w:rFonts w:ascii="Calibri" w:cs="Calibri" w:eastAsia="Calibri" w:hAnsi="Calibri"/>
          <w:sz w:val="21"/>
          <w:szCs w:val="21"/>
        </w:rPr>
        <w:t xml:space="preserve">2.	</w:t>
      </w:r>
      <w:r>
        <w:rPr>
          <w:rFonts w:ascii="Calibri" w:cs="Calibri" w:eastAsia="Calibri" w:hAnsi="Calibri"/>
          <w:sz w:val="21"/>
          <w:szCs w:val="21"/>
        </w:rPr>
        <w:t xml:space="preserve">Vesteri nie gwarantuje określonej liczby zapytań, transakcji ani przychodu.</w:t>
      </w:r>
    </w:p>
    <w:p>
      <w:pPr>
        <w:tabs>
          <w:tab w:val="left" w:pos="420"/>
        </w:tabs>
        <w:spacing w:after="100" w:line="276"/>
        <w:ind w:left="420" w:hanging="420"/>
      </w:pPr>
      <w:r>
        <w:rPr>
          <w:rFonts w:ascii="Calibri" w:cs="Calibri" w:eastAsia="Calibri" w:hAnsi="Calibri"/>
          <w:sz w:val="21"/>
          <w:szCs w:val="21"/>
        </w:rPr>
        <w:t xml:space="preserve">3.	</w:t>
      </w:r>
      <w:r>
        <w:rPr>
          <w:rFonts w:ascii="Calibri" w:cs="Calibri" w:eastAsia="Calibri" w:hAnsi="Calibri"/>
          <w:sz w:val="21"/>
          <w:szCs w:val="21"/>
        </w:rPr>
        <w:t xml:space="preserve">Odpowiedzialność Vesteri wobec Członka ogranicza się do szkody rzeczywistej, z wyłączeniem utraconych korzyści, do wysokości opłat zapłaconych przez Członka w okresie 12 miesięcy poprzedzających zdarzenie; ograniczenie nie dotyczy szkody wyrządzonej umyślnie.</w:t>
      </w:r>
    </w:p>
    <w:p>
      <w:pPr>
        <w:tabs>
          <w:tab w:val="left" w:pos="420"/>
        </w:tabs>
        <w:spacing w:after="100" w:line="276"/>
        <w:ind w:left="420" w:hanging="420"/>
      </w:pPr>
      <w:r>
        <w:rPr>
          <w:rFonts w:ascii="Calibri" w:cs="Calibri" w:eastAsia="Calibri" w:hAnsi="Calibri"/>
          <w:sz w:val="21"/>
          <w:szCs w:val="21"/>
        </w:rPr>
        <w:t xml:space="preserve">4.	</w:t>
      </w:r>
      <w:r>
        <w:rPr>
          <w:rFonts w:ascii="Calibri" w:cs="Calibri" w:eastAsia="Calibri" w:hAnsi="Calibri"/>
          <w:sz w:val="21"/>
          <w:szCs w:val="21"/>
        </w:rPr>
        <w:t xml:space="preserve">Członek odpowiada za treść swoich ofert oraz za swoje działania wobec klientów i innych Członków i zwalnia Vesteri z roszczeń osób trzecich wynikających z tych działań.</w:t>
      </w:r>
    </w:p>
    <w:p>
      <w:pPr>
        <w:pStyle w:val="Heading2"/>
        <w:spacing w:after="120" w:before="280"/>
      </w:pPr>
      <w:r>
        <w:rPr>
          <w:rFonts w:ascii="Calibri" w:cs="Calibri" w:eastAsia="Calibri" w:hAnsi="Calibri"/>
          <w:b/>
          <w:bCs/>
          <w:color w:val="0F766E"/>
          <w:sz w:val="24"/>
          <w:szCs w:val="24"/>
        </w:rPr>
        <w:t xml:space="preserve">§ 11. Postanowienia końcowe</w:t>
      </w:r>
    </w:p>
    <w:p>
      <w:pPr>
        <w:tabs>
          <w:tab w:val="left" w:pos="420"/>
        </w:tabs>
        <w:spacing w:after="100" w:line="276"/>
        <w:ind w:left="420" w:hanging="420"/>
      </w:pPr>
      <w:r>
        <w:rPr>
          <w:rFonts w:ascii="Calibri" w:cs="Calibri" w:eastAsia="Calibri" w:hAnsi="Calibri"/>
          <w:sz w:val="21"/>
          <w:szCs w:val="21"/>
        </w:rPr>
        <w:t xml:space="preserve">1.	</w:t>
      </w:r>
      <w:r>
        <w:rPr>
          <w:rFonts w:ascii="Calibri" w:cs="Calibri" w:eastAsia="Calibri" w:hAnsi="Calibri"/>
          <w:sz w:val="21"/>
          <w:szCs w:val="21"/>
        </w:rPr>
        <w:t xml:space="preserve">Zmiany Regulaminu ogłaszane są w Systemie i e-mailem z 14-dniowym wyprzedzeniem, a zmiany § 4 ust. 3 i § 6 ust. 3 – z 60-dniowym wyprzedzeniem. Brak rezygnacji z członkostwa przed wejściem zmian w życie oznacza ich akceptację.</w:t>
      </w:r>
    </w:p>
    <w:p>
      <w:pPr>
        <w:tabs>
          <w:tab w:val="left" w:pos="420"/>
        </w:tabs>
        <w:spacing w:after="100" w:line="276"/>
        <w:ind w:left="420" w:hanging="420"/>
      </w:pPr>
      <w:r>
        <w:rPr>
          <w:rFonts w:ascii="Calibri" w:cs="Calibri" w:eastAsia="Calibri" w:hAnsi="Calibri"/>
          <w:sz w:val="21"/>
          <w:szCs w:val="21"/>
        </w:rPr>
        <w:t xml:space="preserve">2.	</w:t>
      </w:r>
      <w:r>
        <w:rPr>
          <w:rFonts w:ascii="Calibri" w:cs="Calibri" w:eastAsia="Calibri" w:hAnsi="Calibri"/>
          <w:sz w:val="21"/>
          <w:szCs w:val="21"/>
        </w:rPr>
        <w:t xml:space="preserve">Spory między Członkami strony kierują najpierw do nieodpłatnej mediacji prowadzonej przez Vesteri (do 30 dni). Spory Członka z Vesteri strony starają się rozwiązać polubownie w ciągu 30 dni od zgłoszenia.</w:t>
      </w:r>
    </w:p>
    <w:p>
      <w:pPr>
        <w:tabs>
          <w:tab w:val="left" w:pos="420"/>
        </w:tabs>
        <w:spacing w:after="100" w:line="276"/>
        <w:ind w:left="420" w:hanging="420"/>
      </w:pPr>
      <w:r>
        <w:rPr>
          <w:rFonts w:ascii="Calibri" w:cs="Calibri" w:eastAsia="Calibri" w:hAnsi="Calibri"/>
          <w:sz w:val="21"/>
          <w:szCs w:val="21"/>
        </w:rPr>
        <w:t xml:space="preserve">3.	</w:t>
      </w:r>
      <w:r>
        <w:rPr>
          <w:rFonts w:ascii="Calibri" w:cs="Calibri" w:eastAsia="Calibri" w:hAnsi="Calibri"/>
          <w:sz w:val="21"/>
          <w:szCs w:val="21"/>
        </w:rPr>
        <w:t xml:space="preserve">Regulamin podlega prawu polskiemu. Sądem właściwym jest sąd powszechny właściwy dla m.st. Warszawy.</w:t>
      </w:r>
    </w:p>
    <w:p>
      <w:pPr>
        <w:tabs>
          <w:tab w:val="left" w:pos="420"/>
        </w:tabs>
        <w:spacing w:after="100" w:line="276"/>
        <w:ind w:left="420" w:hanging="420"/>
      </w:pPr>
      <w:r>
        <w:rPr>
          <w:rFonts w:ascii="Calibri" w:cs="Calibri" w:eastAsia="Calibri" w:hAnsi="Calibri"/>
          <w:sz w:val="21"/>
          <w:szCs w:val="21"/>
        </w:rPr>
        <w:t xml:space="preserve">4.	</w:t>
      </w:r>
      <w:r>
        <w:rPr>
          <w:rFonts w:ascii="Calibri" w:cs="Calibri" w:eastAsia="Calibri" w:hAnsi="Calibri"/>
          <w:sz w:val="21"/>
          <w:szCs w:val="21"/>
        </w:rPr>
        <w:t xml:space="preserve">Regulamin sporządzono w wersji polskiej i angielskiej. W razie rozbieżności wiążąca jest wersja </w:t>
      </w:r>
      <w:r>
        <w:rPr>
          <w:rFonts w:ascii="Calibri" w:cs="Calibri" w:eastAsia="Calibri" w:hAnsi="Calibri"/>
          <w:sz w:val="21"/>
          <w:szCs w:val="21"/>
        </w:rPr>
        <w:t xml:space="preserve">polska</w:t>
      </w:r>
      <w:r>
        <w:rPr>
          <w:rFonts w:ascii="Calibri" w:cs="Calibri" w:eastAsia="Calibri" w:hAnsi="Calibri"/>
          <w:sz w:val="21"/>
          <w:szCs w:val="21"/>
        </w:rPr>
        <w:t xml:space="preserve">.</w:t>
      </w:r>
    </w:p>
    <w:p>
      <w:pPr>
        <w:tabs>
          <w:tab w:val="left" w:pos="420"/>
        </w:tabs>
        <w:spacing w:after="100" w:line="276"/>
        <w:ind w:left="420" w:hanging="420"/>
      </w:pPr>
      <w:r>
        <w:rPr>
          <w:rFonts w:ascii="Calibri" w:cs="Calibri" w:eastAsia="Calibri" w:hAnsi="Calibri"/>
          <w:sz w:val="21"/>
          <w:szCs w:val="21"/>
        </w:rPr>
        <w:t xml:space="preserve">5.	</w:t>
      </w:r>
      <w:r>
        <w:rPr>
          <w:rFonts w:ascii="Calibri" w:cs="Calibri" w:eastAsia="Calibri" w:hAnsi="Calibri"/>
          <w:sz w:val="21"/>
          <w:szCs w:val="21"/>
        </w:rPr>
        <w:t xml:space="preserve">Członek akceptuje Regulamin, zaznaczając odpowiednie pole przy zgłoszeniu. Umowa członkostwa zostaje zawarta z chwilą zatwierdzenia zgłoszenia przez Vesteri.</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88888"/>
        <w:sz w:val="16"/>
        <w:szCs w:val="16"/>
      </w:rPr>
      <w:t xml:space="preserve">Regulamin Vesteri Collective · v1.0  ·  </w:t>
    </w:r>
    <w:r>
      <w:rPr>
        <w:rFonts w:ascii="Calibri" w:cs="Calibri" w:eastAsia="Calibri" w:hAnsi="Calibri"/>
        <w:color w:val="88888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VESTERI COLLECTIVE</dc:title>
  <dc:creator>Time2Show, Inc.</dc:creator>
  <cp:lastModifiedBy>Un-named</cp:lastModifiedBy>
  <cp:revision>1</cp:revision>
  <dcterms:created xsi:type="dcterms:W3CDTF">2026-10-22T14:27:36.996Z</dcterms:created>
  <dcterms:modified xsi:type="dcterms:W3CDTF">2026-10-22T14:27:37.005Z</dcterms:modified>
</cp:coreProperties>
</file>

<file path=docProps/custom.xml><?xml version="1.0" encoding="utf-8"?>
<Properties xmlns="http://schemas.openxmlformats.org/officeDocument/2006/custom-properties" xmlns:vt="http://schemas.openxmlformats.org/officeDocument/2006/docPropsVTypes"/>
</file>